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8"/>
      </w:pPr>
      <w:r/>
      <w:r/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2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Пояснительная записка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Краткое описание предлагаемого регулирования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spacing w:before="120"/>
              <w:tabs>
                <w:tab w:val="left" w:pos="184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Проектом постановления администрации </w:t>
            </w:r>
            <w:r>
              <w:rPr>
                <w:sz w:val="28"/>
                <w:szCs w:val="28"/>
              </w:rPr>
              <w:t xml:space="preserve">Дальнеконстантиновского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Об утверждении схемы размещения нестационарных торговых объектов на территории  Дальнеконстантиновского  муниципального округа Нижегородской области   на 2026</w:t>
            </w:r>
            <w:r>
              <w:rPr>
                <w:sz w:val="28"/>
                <w:szCs w:val="28"/>
              </w:rPr>
              <w:t xml:space="preserve">-2030</w:t>
            </w:r>
            <w:r>
              <w:rPr>
                <w:sz w:val="28"/>
                <w:szCs w:val="28"/>
              </w:rPr>
              <w:t xml:space="preserve">  г.г.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(далее - проект) </w:t>
            </w:r>
            <w:r>
              <w:rPr>
                <w:sz w:val="28"/>
                <w:szCs w:val="28"/>
              </w:rPr>
              <w:t xml:space="preserve">предлагается </w:t>
            </w:r>
            <w:r>
              <w:rPr>
                <w:sz w:val="28"/>
                <w:szCs w:val="28"/>
              </w:rPr>
              <w:t xml:space="preserve">утвердить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схему размещения нестационарных торговых объектов</w:t>
            </w:r>
            <w:r>
              <w:rPr>
                <w:sz w:val="28"/>
                <w:szCs w:val="28"/>
              </w:rPr>
              <w:t xml:space="preserve"> (далее-НТО)</w:t>
            </w:r>
            <w:r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 xml:space="preserve">территории </w:t>
            </w:r>
            <w:r>
              <w:rPr>
                <w:sz w:val="28"/>
                <w:szCs w:val="28"/>
              </w:rPr>
              <w:t xml:space="preserve"> Дальнеконстантиновского</w:t>
            </w:r>
            <w:r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i/>
                <w:sz w:val="28"/>
                <w:szCs w:val="28"/>
              </w:rPr>
              <w:t xml:space="preserve"> Основание для проведения оценки регулирующего воздействия (одно или несколько</w:t>
            </w:r>
            <w:r>
              <w:rPr>
                <w:sz w:val="28"/>
                <w:szCs w:val="28"/>
              </w:rPr>
              <w:t xml:space="preserve">):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-</w:t>
            </w:r>
            <w:r>
              <w:rPr>
                <w:sz w:val="28"/>
                <w:szCs w:val="28"/>
              </w:rPr>
              <w:t xml:space="preserve"> данные проект разработан </w:t>
            </w:r>
            <w:r>
              <w:rPr>
                <w:sz w:val="28"/>
                <w:szCs w:val="28"/>
              </w:rPr>
              <w:t xml:space="preserve">в целях</w:t>
            </w:r>
            <w:r>
              <w:rPr>
                <w:sz w:val="28"/>
                <w:szCs w:val="28"/>
              </w:rPr>
              <w:t xml:space="preserve"> создания условий для улучшение организации и качества торгового обслуживания населения и обеспечения доступности товаров для населения; достижения нормативов минимальной обеспеченности населения площадью торговых объектов на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Дальнеконстантиновского </w:t>
            </w:r>
            <w:r>
              <w:rPr>
                <w:sz w:val="28"/>
                <w:szCs w:val="28"/>
              </w:rPr>
              <w:t xml:space="preserve"> муниципального округа.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>
              <w:rPr>
                <w:i/>
                <w:sz w:val="28"/>
                <w:szCs w:val="28"/>
              </w:rPr>
              <w:t xml:space="preserve"> Сведения о проблеме, на решение которой направлено предлагаемое регулирование, в том числе: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-причиной возникновения проблемы является </w:t>
            </w:r>
            <w:r>
              <w:rPr>
                <w:sz w:val="28"/>
                <w:szCs w:val="28"/>
              </w:rPr>
              <w:t xml:space="preserve">невозможность заключения договора на размещение НТО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субъект</w:t>
            </w:r>
            <w:r>
              <w:rPr>
                <w:sz w:val="28"/>
                <w:szCs w:val="28"/>
              </w:rPr>
              <w:t xml:space="preserve">ами</w:t>
            </w:r>
            <w:r>
              <w:rPr>
                <w:sz w:val="28"/>
                <w:szCs w:val="28"/>
              </w:rPr>
              <w:t xml:space="preserve"> предпринимательства</w:t>
            </w:r>
            <w:r>
              <w:rPr>
                <w:sz w:val="28"/>
                <w:szCs w:val="28"/>
              </w:rPr>
              <w:t xml:space="preserve"> без </w:t>
            </w:r>
            <w:r>
              <w:rPr>
                <w:sz w:val="28"/>
                <w:szCs w:val="28"/>
              </w:rPr>
              <w:t xml:space="preserve">утверждения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Схем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НТО</w:t>
            </w:r>
            <w:r>
              <w:rPr>
                <w:sz w:val="28"/>
                <w:szCs w:val="28"/>
              </w:rPr>
              <w:t xml:space="preserve"> на территории </w:t>
            </w:r>
            <w:r>
              <w:rPr>
                <w:sz w:val="28"/>
                <w:szCs w:val="28"/>
              </w:rPr>
              <w:t xml:space="preserve"> Дальнеконстантиновского</w:t>
            </w:r>
            <w:r>
              <w:rPr>
                <w:sz w:val="28"/>
                <w:szCs w:val="28"/>
              </w:rPr>
              <w:t xml:space="preserve"> муниципального 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проблема устойчива во времени,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участниками соо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ветствующих отношений решить ее не возможно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целями регулирования являются </w:t>
            </w:r>
            <w:r>
              <w:rPr>
                <w:sz w:val="28"/>
                <w:szCs w:val="28"/>
              </w:rPr>
              <w:t xml:space="preserve">создания условий для улучшение организации и качества торгового обслуживания населения и обеспечения доступности товаров для населения;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-достижения нормативов минимальной обеспеченности населения площадью  торговых объектов;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-обеспечения поддержки субъектов малого или среднего предпринимательства, осуществляющих торговую деятельность в НТО;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sz w:val="28"/>
                <w:szCs w:val="28"/>
              </w:rPr>
              <w:t xml:space="preserve"> - повышения доступности товаров для населения;</w:t>
            </w:r>
            <w:r>
              <w:rPr>
                <w:b/>
                <w:bCs/>
                <w:i/>
                <w:iCs/>
                <w:color w:val="000000"/>
              </w:rPr>
            </w:r>
            <w:r>
              <w:rPr>
                <w:b/>
                <w:bCs/>
                <w:i/>
                <w:iCs/>
                <w:color w:val="000000"/>
              </w:rPr>
            </w:r>
          </w:p>
          <w:p>
            <w:pPr>
              <w:pStyle w:val="668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развития многоформатной инфраструктуры торговли </w:t>
            </w:r>
            <w:r>
              <w:rPr>
                <w:color w:val="000000"/>
                <w:sz w:val="28"/>
                <w:szCs w:val="28"/>
              </w:rPr>
              <w:t xml:space="preserve"> Дальнеконстантиновского</w:t>
            </w:r>
            <w:r>
              <w:rPr>
                <w:color w:val="000000"/>
                <w:sz w:val="28"/>
                <w:szCs w:val="28"/>
              </w:rPr>
              <w:t xml:space="preserve"> муниципального </w:t>
            </w:r>
            <w:r>
              <w:rPr>
                <w:color w:val="000000"/>
                <w:sz w:val="28"/>
                <w:szCs w:val="28"/>
              </w:rPr>
              <w:t xml:space="preserve">округа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Сведения о проведении специального исследования данной проблемы (если таковое было проведено), в том числе о сформированной экспертной группе для проведения анализа данной проблемы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 имеется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</w:t>
            </w:r>
            <w:r>
              <w:rPr>
                <w:i/>
                <w:sz w:val="28"/>
                <w:szCs w:val="28"/>
              </w:rPr>
              <w:t xml:space="preserve">Пред</w:t>
            </w:r>
            <w:r>
              <w:rPr>
                <w:i/>
                <w:sz w:val="28"/>
                <w:szCs w:val="28"/>
              </w:rPr>
              <w:t xml:space="preserve">варительная оценка выгод и издержек для социальных групп, а также оценка выгод и издержек сохранения действующего регулирования: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-улучшение организации торговли</w:t>
            </w:r>
            <w:r>
              <w:rPr>
                <w:sz w:val="28"/>
                <w:szCs w:val="28"/>
              </w:rPr>
              <w:t xml:space="preserve">, расширение ассортимента товаров непродовольственной группы,</w:t>
            </w:r>
            <w:r>
              <w:rPr>
                <w:sz w:val="28"/>
                <w:szCs w:val="28"/>
              </w:rPr>
              <w:t xml:space="preserve"> развитие деятельности субъект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предпринимательства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>
              <w:rPr>
                <w:i/>
                <w:sz w:val="28"/>
                <w:szCs w:val="28"/>
              </w:rPr>
              <w:t xml:space="preserve">Краткое описание: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</w:t>
            </w:r>
            <w:r>
              <w:rPr>
                <w:sz w:val="28"/>
                <w:szCs w:val="28"/>
              </w:rPr>
              <w:t xml:space="preserve">редметом регулирования являются отношения, возникающие между администрацией </w:t>
            </w:r>
            <w:r>
              <w:rPr>
                <w:sz w:val="28"/>
                <w:szCs w:val="28"/>
              </w:rPr>
              <w:t xml:space="preserve"> Дальнеконстантиновского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 xml:space="preserve">субъектами предприн</w: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мательства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риски, связанные с недостижением целей регулирования, отсутствуют.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>
              <w:rPr>
                <w:i/>
                <w:sz w:val="28"/>
                <w:szCs w:val="28"/>
              </w:rPr>
              <w:t xml:space="preserve">Описание реализации регулирования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ответственным за реализацию данного проекта является управление экономи</w:t>
            </w:r>
            <w:r>
              <w:rPr>
                <w:sz w:val="28"/>
                <w:szCs w:val="28"/>
              </w:rPr>
              <w:t xml:space="preserve">ческого развития </w:t>
            </w:r>
            <w:r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Дальнеконстантиновского </w:t>
            </w:r>
            <w:r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>
              <w:rPr>
                <w:i/>
                <w:sz w:val="28"/>
                <w:szCs w:val="28"/>
              </w:rPr>
              <w:t xml:space="preserve">Наличие необходимости применения исключений по введению регулирования в отношении отдельных групп лиц с соответствующим обоснованием</w:t>
            </w:r>
            <w:r>
              <w:rPr>
                <w:i/>
                <w:sz w:val="28"/>
                <w:szCs w:val="28"/>
              </w:rPr>
              <w:t xml:space="preserve">: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 имеется.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 xml:space="preserve">Оценка расходов местного бюджета.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исполнение полномочий, необходимых для реализации предполагаемого  проекта постановления, не потребует расходов из бюджета </w:t>
            </w:r>
            <w:r>
              <w:rPr>
                <w:sz w:val="28"/>
                <w:szCs w:val="28"/>
              </w:rPr>
              <w:t xml:space="preserve"> Дальнеконстантиновского</w:t>
            </w:r>
            <w:r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 xml:space="preserve">О</w:t>
            </w:r>
            <w:r>
              <w:rPr>
                <w:i/>
                <w:sz w:val="28"/>
                <w:szCs w:val="28"/>
              </w:rPr>
              <w:t xml:space="preserve">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-принятие проекта постановления не возложит на субъект предпринимательства дополнительных обязанностей при ведении предпринимательской и инвестиционной деятельности, а также не внесет изменений в содержание существующих обязанностей указанн</w:t>
            </w:r>
            <w:r>
              <w:rPr>
                <w:sz w:val="28"/>
                <w:szCs w:val="28"/>
              </w:rPr>
              <w:t xml:space="preserve">ого</w:t>
            </w:r>
            <w:r>
              <w:rPr>
                <w:sz w:val="28"/>
                <w:szCs w:val="28"/>
              </w:rPr>
              <w:t xml:space="preserve"> субъект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  <w:r>
              <w:rPr>
                <w:i/>
                <w:sz w:val="28"/>
                <w:szCs w:val="28"/>
              </w:rPr>
              <w:t xml:space="preserve">Иные сведения, позволяющие оценить обоснованность предлагаемого регулирования.</w:t>
            </w:r>
            <w:r>
              <w:rPr>
                <w:i/>
                <w:sz w:val="28"/>
                <w:szCs w:val="28"/>
              </w:rPr>
            </w:r>
          </w:p>
          <w:p>
            <w:pPr>
              <w:pStyle w:val="668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 имеется.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3" w:type="dxa"/>
            <w:vAlign w:val="center"/>
            <w:textDirection w:val="lrTb"/>
            <w:noWrap w:val="false"/>
          </w:tcPr>
          <w:p>
            <w:pPr>
              <w:pStyle w:val="746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</w:tr>
    </w:tbl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567" w:right="567" w:bottom="567" w:left="1134" w:header="397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Calibri">
    <w:panose1 w:val="020F0502020204030204"/>
  </w:font>
  <w:font w:name="MS Mincho">
    <w:panose1 w:val="0202050606050509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Open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6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67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67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67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67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67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8"/>
    <w:next w:val="66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8"/>
    <w:next w:val="66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8"/>
    <w:next w:val="66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8"/>
    <w:next w:val="66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8"/>
    <w:next w:val="66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8"/>
    <w:next w:val="66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8"/>
    <w:next w:val="66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8"/>
    <w:next w:val="66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8"/>
    <w:next w:val="66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8"/>
    <w:next w:val="66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8"/>
    <w:next w:val="66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8"/>
    <w:next w:val="66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8"/>
    <w:next w:val="66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8"/>
    <w:next w:val="66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68" w:default="1">
    <w:name w:val="Normal"/>
    <w:next w:val="668"/>
    <w:link w:val="668"/>
    <w:qFormat/>
    <w:rPr>
      <w:sz w:val="24"/>
      <w:szCs w:val="24"/>
      <w:lang w:val="ru-RU" w:eastAsia="ar-SA" w:bidi="ar-SA"/>
    </w:rPr>
  </w:style>
  <w:style w:type="paragraph" w:styleId="669">
    <w:name w:val="Заголовок 1"/>
    <w:basedOn w:val="668"/>
    <w:next w:val="668"/>
    <w:link w:val="668"/>
    <w:qFormat/>
    <w:pPr>
      <w:numPr>
        <w:ilvl w:val="0"/>
        <w:numId w:val="1"/>
      </w:numPr>
      <w:ind w:left="0" w:right="0" w:firstLine="0"/>
      <w:jc w:val="center"/>
      <w:keepNext/>
      <w:outlineLvl w:val="0"/>
    </w:pPr>
    <w:rPr>
      <w:b/>
      <w:bCs/>
      <w:sz w:val="36"/>
      <w:szCs w:val="36"/>
    </w:rPr>
  </w:style>
  <w:style w:type="paragraph" w:styleId="670">
    <w:name w:val="Заголовок 2"/>
    <w:basedOn w:val="668"/>
    <w:next w:val="668"/>
    <w:link w:val="668"/>
    <w:qFormat/>
    <w:pPr>
      <w:numPr>
        <w:ilvl w:val="1"/>
        <w:numId w:val="1"/>
      </w:numPr>
      <w:ind w:left="252" w:right="0" w:firstLine="0"/>
      <w:jc w:val="center"/>
      <w:keepNext/>
      <w:outlineLvl w:val="1"/>
    </w:pPr>
    <w:rPr>
      <w:sz w:val="28"/>
      <w:szCs w:val="28"/>
    </w:rPr>
  </w:style>
  <w:style w:type="paragraph" w:styleId="671">
    <w:name w:val="Заголовок 3"/>
    <w:basedOn w:val="668"/>
    <w:next w:val="668"/>
    <w:link w:val="668"/>
    <w:qFormat/>
    <w:pPr>
      <w:numPr>
        <w:ilvl w:val="2"/>
        <w:numId w:val="1"/>
      </w:numPr>
      <w:ind w:left="0" w:right="0" w:firstLine="0"/>
      <w:keepNext/>
      <w:outlineLvl w:val="2"/>
    </w:pPr>
    <w:rPr>
      <w:sz w:val="28"/>
    </w:rPr>
  </w:style>
  <w:style w:type="paragraph" w:styleId="672">
    <w:name w:val="Заголовок 4"/>
    <w:basedOn w:val="668"/>
    <w:next w:val="668"/>
    <w:link w:val="668"/>
    <w:qFormat/>
    <w:pPr>
      <w:numPr>
        <w:ilvl w:val="3"/>
        <w:numId w:val="1"/>
      </w:numPr>
      <w:ind w:left="0" w:right="0" w:firstLine="0"/>
      <w:jc w:val="center"/>
      <w:keepNext/>
      <w:outlineLvl w:val="3"/>
    </w:pPr>
    <w:rPr>
      <w:sz w:val="28"/>
    </w:rPr>
  </w:style>
  <w:style w:type="paragraph" w:styleId="673">
    <w:name w:val="Заголовок 5"/>
    <w:basedOn w:val="668"/>
    <w:next w:val="668"/>
    <w:link w:val="668"/>
    <w:qFormat/>
    <w:pPr>
      <w:numPr>
        <w:ilvl w:val="4"/>
        <w:numId w:val="1"/>
      </w:numPr>
      <w:ind w:left="0" w:right="-108" w:firstLine="0"/>
      <w:jc w:val="center"/>
      <w:keepNext/>
      <w:outlineLvl w:val="4"/>
    </w:pPr>
    <w:rPr>
      <w:sz w:val="28"/>
      <w:szCs w:val="28"/>
    </w:rPr>
  </w:style>
  <w:style w:type="paragraph" w:styleId="674">
    <w:name w:val="Заголовок 6"/>
    <w:basedOn w:val="668"/>
    <w:next w:val="668"/>
    <w:link w:val="668"/>
    <w:qFormat/>
    <w:pPr>
      <w:numPr>
        <w:ilvl w:val="5"/>
        <w:numId w:val="1"/>
      </w:numPr>
      <w:ind w:left="0" w:right="0" w:firstLine="0"/>
      <w:jc w:val="right"/>
      <w:keepNext/>
      <w:outlineLvl w:val="5"/>
    </w:pPr>
    <w:rPr>
      <w:sz w:val="28"/>
    </w:rPr>
  </w:style>
  <w:style w:type="paragraph" w:styleId="675">
    <w:name w:val="Заголовок 8"/>
    <w:basedOn w:val="668"/>
    <w:next w:val="668"/>
    <w:link w:val="668"/>
    <w:qFormat/>
    <w:pPr>
      <w:spacing w:before="240" w:after="60"/>
    </w:pPr>
    <w:rPr>
      <w:i/>
      <w:iCs/>
    </w:rPr>
  </w:style>
  <w:style w:type="paragraph" w:styleId="676">
    <w:name w:val="Заголовок 9"/>
    <w:basedOn w:val="668"/>
    <w:next w:val="668"/>
    <w:link w:val="668"/>
    <w:qFormat/>
    <w:pPr>
      <w:spacing w:before="240" w:after="60"/>
    </w:pPr>
    <w:rPr>
      <w:rFonts w:ascii="Arial" w:hAnsi="Arial" w:cs="Arial"/>
      <w:sz w:val="22"/>
      <w:szCs w:val="22"/>
    </w:rPr>
  </w:style>
  <w:style w:type="character" w:styleId="677">
    <w:name w:val="Основной шрифт абзаца"/>
    <w:next w:val="677"/>
    <w:link w:val="668"/>
    <w:uiPriority w:val="1"/>
    <w:semiHidden/>
    <w:unhideWhenUsed/>
  </w:style>
  <w:style w:type="table" w:styleId="678">
    <w:name w:val="Обычная таблица"/>
    <w:next w:val="678"/>
    <w:link w:val="668"/>
    <w:uiPriority w:val="99"/>
    <w:semiHidden/>
    <w:unhideWhenUsed/>
    <w:tblPr/>
  </w:style>
  <w:style w:type="numbering" w:styleId="679">
    <w:name w:val="Нет списка"/>
    <w:next w:val="679"/>
    <w:link w:val="668"/>
    <w:uiPriority w:val="99"/>
    <w:semiHidden/>
    <w:unhideWhenUsed/>
  </w:style>
  <w:style w:type="character" w:styleId="680">
    <w:name w:val="WW8Num1z0"/>
    <w:next w:val="680"/>
    <w:link w:val="668"/>
  </w:style>
  <w:style w:type="character" w:styleId="681">
    <w:name w:val="WW8Num1z1"/>
    <w:next w:val="681"/>
    <w:link w:val="668"/>
  </w:style>
  <w:style w:type="character" w:styleId="682">
    <w:name w:val="WW8Num1z2"/>
    <w:next w:val="682"/>
    <w:link w:val="668"/>
  </w:style>
  <w:style w:type="character" w:styleId="683">
    <w:name w:val="WW8Num1z3"/>
    <w:next w:val="683"/>
    <w:link w:val="668"/>
  </w:style>
  <w:style w:type="character" w:styleId="684">
    <w:name w:val="WW8Num1z4"/>
    <w:next w:val="684"/>
    <w:link w:val="668"/>
  </w:style>
  <w:style w:type="character" w:styleId="685">
    <w:name w:val="WW8Num1z5"/>
    <w:next w:val="685"/>
    <w:link w:val="668"/>
  </w:style>
  <w:style w:type="character" w:styleId="686">
    <w:name w:val="WW8Num1z6"/>
    <w:next w:val="686"/>
    <w:link w:val="668"/>
  </w:style>
  <w:style w:type="character" w:styleId="687">
    <w:name w:val="WW8Num1z7"/>
    <w:next w:val="687"/>
    <w:link w:val="668"/>
  </w:style>
  <w:style w:type="character" w:styleId="688">
    <w:name w:val="WW8Num1z8"/>
    <w:next w:val="688"/>
    <w:link w:val="668"/>
  </w:style>
  <w:style w:type="character" w:styleId="689">
    <w:name w:val="Absatz-Standardschriftart"/>
    <w:next w:val="689"/>
    <w:link w:val="668"/>
  </w:style>
  <w:style w:type="character" w:styleId="690">
    <w:name w:val="Основной шрифт абзаца5"/>
    <w:next w:val="690"/>
    <w:link w:val="668"/>
  </w:style>
  <w:style w:type="character" w:styleId="691">
    <w:name w:val="WW-Absatz-Standardschriftart"/>
    <w:next w:val="691"/>
    <w:link w:val="668"/>
  </w:style>
  <w:style w:type="character" w:styleId="692">
    <w:name w:val="WW-Absatz-Standardschriftart1"/>
    <w:next w:val="692"/>
    <w:link w:val="668"/>
  </w:style>
  <w:style w:type="character" w:styleId="693">
    <w:name w:val="WW-Absatz-Standardschriftart11"/>
    <w:next w:val="693"/>
    <w:link w:val="668"/>
  </w:style>
  <w:style w:type="character" w:styleId="694">
    <w:name w:val="Основной шрифт абзаца4"/>
    <w:next w:val="694"/>
    <w:link w:val="668"/>
  </w:style>
  <w:style w:type="character" w:styleId="695">
    <w:name w:val="WW8Num2z0"/>
    <w:next w:val="695"/>
    <w:link w:val="668"/>
  </w:style>
  <w:style w:type="character" w:styleId="696">
    <w:name w:val="WW8Num2z1"/>
    <w:next w:val="696"/>
    <w:link w:val="668"/>
  </w:style>
  <w:style w:type="character" w:styleId="697">
    <w:name w:val="WW8Num2z2"/>
    <w:next w:val="697"/>
    <w:link w:val="668"/>
  </w:style>
  <w:style w:type="character" w:styleId="698">
    <w:name w:val="WW8Num2z3"/>
    <w:next w:val="698"/>
    <w:link w:val="668"/>
  </w:style>
  <w:style w:type="character" w:styleId="699">
    <w:name w:val="WW8Num2z4"/>
    <w:next w:val="699"/>
    <w:link w:val="668"/>
  </w:style>
  <w:style w:type="character" w:styleId="700">
    <w:name w:val="WW8Num2z5"/>
    <w:next w:val="700"/>
    <w:link w:val="668"/>
  </w:style>
  <w:style w:type="character" w:styleId="701">
    <w:name w:val="WW8Num2z6"/>
    <w:next w:val="701"/>
    <w:link w:val="668"/>
  </w:style>
  <w:style w:type="character" w:styleId="702">
    <w:name w:val="WW8Num2z7"/>
    <w:next w:val="702"/>
    <w:link w:val="668"/>
  </w:style>
  <w:style w:type="character" w:styleId="703">
    <w:name w:val="WW8Num2z8"/>
    <w:next w:val="703"/>
    <w:link w:val="668"/>
  </w:style>
  <w:style w:type="character" w:styleId="704">
    <w:name w:val="WW8Num3z0"/>
    <w:next w:val="704"/>
    <w:link w:val="668"/>
  </w:style>
  <w:style w:type="character" w:styleId="705">
    <w:name w:val="Основной шрифт абзаца3"/>
    <w:next w:val="705"/>
    <w:link w:val="668"/>
  </w:style>
  <w:style w:type="character" w:styleId="706">
    <w:name w:val="WW-Absatz-Standardschriftart111"/>
    <w:next w:val="706"/>
    <w:link w:val="668"/>
  </w:style>
  <w:style w:type="character" w:styleId="707">
    <w:name w:val="Основной шрифт абзаца2"/>
    <w:next w:val="707"/>
    <w:link w:val="668"/>
  </w:style>
  <w:style w:type="character" w:styleId="708">
    <w:name w:val="WW-Absatz-Standardschriftart1111"/>
    <w:next w:val="708"/>
    <w:link w:val="668"/>
  </w:style>
  <w:style w:type="character" w:styleId="709">
    <w:name w:val="WW-Absatz-Standardschriftart11111"/>
    <w:next w:val="709"/>
    <w:link w:val="668"/>
  </w:style>
  <w:style w:type="character" w:styleId="710">
    <w:name w:val="WW-Absatz-Standardschriftart111111"/>
    <w:next w:val="710"/>
    <w:link w:val="668"/>
  </w:style>
  <w:style w:type="character" w:styleId="711">
    <w:name w:val="WW-Absatz-Standardschriftart1111111"/>
    <w:next w:val="711"/>
    <w:link w:val="668"/>
  </w:style>
  <w:style w:type="character" w:styleId="712">
    <w:name w:val="WW-Absatz-Standardschriftart11111111"/>
    <w:next w:val="712"/>
    <w:link w:val="668"/>
  </w:style>
  <w:style w:type="character" w:styleId="713">
    <w:name w:val="WW-Absatz-Standardschriftart111111111"/>
    <w:next w:val="713"/>
    <w:link w:val="668"/>
  </w:style>
  <w:style w:type="character" w:styleId="714">
    <w:name w:val="WW-Absatz-Standardschriftart1111111111"/>
    <w:next w:val="714"/>
    <w:link w:val="668"/>
  </w:style>
  <w:style w:type="character" w:styleId="715">
    <w:name w:val="WW-Absatz-Standardschriftart11111111111"/>
    <w:next w:val="715"/>
    <w:link w:val="668"/>
  </w:style>
  <w:style w:type="character" w:styleId="716">
    <w:name w:val="Основной шрифт абзаца1"/>
    <w:next w:val="716"/>
    <w:link w:val="668"/>
  </w:style>
  <w:style w:type="character" w:styleId="717">
    <w:name w:val="WW-Absatz-Standardschriftart111111111111"/>
    <w:next w:val="717"/>
    <w:link w:val="668"/>
  </w:style>
  <w:style w:type="character" w:styleId="718">
    <w:name w:val="WW-Основной шрифт абзаца"/>
    <w:next w:val="718"/>
    <w:link w:val="668"/>
  </w:style>
  <w:style w:type="character" w:styleId="719">
    <w:name w:val="Символ нумерации"/>
    <w:next w:val="719"/>
    <w:link w:val="668"/>
  </w:style>
  <w:style w:type="character" w:styleId="720">
    <w:name w:val="Гиперссылка"/>
    <w:next w:val="720"/>
    <w:link w:val="668"/>
    <w:rPr>
      <w:color w:val="0000ff"/>
      <w:u w:val="single"/>
    </w:rPr>
  </w:style>
  <w:style w:type="character" w:styleId="721">
    <w:name w:val=" Знак2"/>
    <w:next w:val="721"/>
    <w:link w:val="668"/>
    <w:rPr>
      <w:sz w:val="24"/>
      <w:szCs w:val="24"/>
    </w:rPr>
  </w:style>
  <w:style w:type="character" w:styleId="722">
    <w:name w:val=" Знак1"/>
    <w:next w:val="722"/>
    <w:link w:val="668"/>
    <w:rPr>
      <w:sz w:val="24"/>
      <w:szCs w:val="24"/>
    </w:rPr>
  </w:style>
  <w:style w:type="character" w:styleId="723">
    <w:name w:val=" Знак"/>
    <w:next w:val="723"/>
    <w:link w:val="668"/>
    <w:rPr>
      <w:rFonts w:eastAsia="Times New Roman"/>
    </w:rPr>
  </w:style>
  <w:style w:type="character" w:styleId="724">
    <w:name w:val="Символ сноски"/>
    <w:next w:val="724"/>
    <w:link w:val="668"/>
    <w:rPr>
      <w:vertAlign w:val="superscript"/>
    </w:rPr>
  </w:style>
  <w:style w:type="character" w:styleId="725">
    <w:name w:val="Маркеры списка"/>
    <w:next w:val="725"/>
    <w:link w:val="668"/>
    <w:rPr>
      <w:rFonts w:ascii="OpenSymbol" w:hAnsi="OpenSymbol" w:eastAsia="OpenSymbol" w:cs="OpenSymbol"/>
    </w:rPr>
  </w:style>
  <w:style w:type="character" w:styleId="726">
    <w:name w:val="Основной текст Знак"/>
    <w:next w:val="726"/>
    <w:link w:val="668"/>
    <w:rPr>
      <w:sz w:val="28"/>
      <w:szCs w:val="24"/>
    </w:rPr>
  </w:style>
  <w:style w:type="paragraph" w:styleId="727">
    <w:name w:val="Заголовок"/>
    <w:basedOn w:val="668"/>
    <w:next w:val="728"/>
    <w:link w:val="668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728">
    <w:name w:val="Основной текст"/>
    <w:basedOn w:val="668"/>
    <w:next w:val="728"/>
    <w:link w:val="668"/>
    <w:rPr>
      <w:sz w:val="28"/>
      <w:lang w:val="en-US"/>
    </w:rPr>
  </w:style>
  <w:style w:type="paragraph" w:styleId="729">
    <w:name w:val="Список"/>
    <w:basedOn w:val="728"/>
    <w:next w:val="729"/>
    <w:link w:val="668"/>
    <w:rPr>
      <w:rFonts w:cs="Tahoma"/>
    </w:rPr>
  </w:style>
  <w:style w:type="paragraph" w:styleId="730">
    <w:name w:val="Название5"/>
    <w:basedOn w:val="668"/>
    <w:next w:val="730"/>
    <w:link w:val="668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731">
    <w:name w:val="Указатель5"/>
    <w:basedOn w:val="668"/>
    <w:next w:val="731"/>
    <w:link w:val="668"/>
    <w:pPr>
      <w:suppressLineNumbers/>
    </w:pPr>
    <w:rPr>
      <w:rFonts w:cs="Tahoma"/>
    </w:rPr>
  </w:style>
  <w:style w:type="paragraph" w:styleId="732">
    <w:name w:val="Название4"/>
    <w:basedOn w:val="668"/>
    <w:next w:val="732"/>
    <w:link w:val="668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733">
    <w:name w:val="Указатель4"/>
    <w:basedOn w:val="668"/>
    <w:next w:val="733"/>
    <w:link w:val="668"/>
    <w:pPr>
      <w:suppressLineNumbers/>
    </w:pPr>
    <w:rPr>
      <w:rFonts w:cs="Tahoma"/>
    </w:rPr>
  </w:style>
  <w:style w:type="paragraph" w:styleId="734">
    <w:name w:val="Название3"/>
    <w:basedOn w:val="668"/>
    <w:next w:val="734"/>
    <w:link w:val="668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3"/>
    <w:basedOn w:val="668"/>
    <w:next w:val="735"/>
    <w:link w:val="668"/>
    <w:pPr>
      <w:suppressLineNumbers/>
    </w:pPr>
    <w:rPr>
      <w:rFonts w:cs="Mangal"/>
    </w:rPr>
  </w:style>
  <w:style w:type="paragraph" w:styleId="736">
    <w:name w:val="Название2"/>
    <w:basedOn w:val="668"/>
    <w:next w:val="736"/>
    <w:link w:val="668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737">
    <w:name w:val="Указатель2"/>
    <w:basedOn w:val="668"/>
    <w:next w:val="737"/>
    <w:link w:val="668"/>
    <w:pPr>
      <w:suppressLineNumbers/>
    </w:pPr>
    <w:rPr>
      <w:rFonts w:cs="Tahoma"/>
    </w:rPr>
  </w:style>
  <w:style w:type="paragraph" w:styleId="738">
    <w:name w:val="Название1"/>
    <w:basedOn w:val="668"/>
    <w:next w:val="738"/>
    <w:link w:val="668"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39">
    <w:name w:val="Указатель1"/>
    <w:basedOn w:val="668"/>
    <w:next w:val="739"/>
    <w:link w:val="668"/>
    <w:pPr>
      <w:suppressLineNumbers/>
    </w:pPr>
    <w:rPr>
      <w:rFonts w:ascii="Arial" w:hAnsi="Arial" w:cs="Tahoma"/>
    </w:rPr>
  </w:style>
  <w:style w:type="paragraph" w:styleId="740">
    <w:name w:val="Название"/>
    <w:basedOn w:val="668"/>
    <w:next w:val="741"/>
    <w:link w:val="668"/>
    <w:qFormat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741">
    <w:name w:val="Подзаголовок"/>
    <w:basedOn w:val="727"/>
    <w:next w:val="728"/>
    <w:link w:val="668"/>
    <w:qFormat/>
    <w:pPr>
      <w:jc w:val="center"/>
    </w:pPr>
    <w:rPr>
      <w:i/>
      <w:iCs/>
      <w:sz w:val="28"/>
      <w:szCs w:val="28"/>
    </w:rPr>
  </w:style>
  <w:style w:type="paragraph" w:styleId="742">
    <w:name w:val="Указатель"/>
    <w:basedOn w:val="668"/>
    <w:next w:val="742"/>
    <w:link w:val="668"/>
    <w:pPr>
      <w:suppressLineNumbers/>
    </w:pPr>
    <w:rPr>
      <w:rFonts w:cs="Tahoma"/>
    </w:rPr>
  </w:style>
  <w:style w:type="paragraph" w:styleId="743">
    <w:name w:val="FR3"/>
    <w:next w:val="743"/>
    <w:link w:val="668"/>
    <w:pPr>
      <w:spacing w:before="160"/>
    </w:pPr>
    <w:rPr>
      <w:rFonts w:ascii="Arial" w:hAnsi="Arial" w:eastAsia="Arial" w:cs="Arial"/>
      <w:sz w:val="18"/>
      <w:szCs w:val="18"/>
      <w:lang w:val="ru-RU" w:eastAsia="ar-SA" w:bidi="ar-SA"/>
    </w:rPr>
  </w:style>
  <w:style w:type="paragraph" w:styleId="744">
    <w:name w:val="Текст выноски"/>
    <w:basedOn w:val="668"/>
    <w:next w:val="744"/>
    <w:link w:val="668"/>
    <w:rPr>
      <w:rFonts w:ascii="Tahoma" w:hAnsi="Tahoma" w:cs="Tahoma"/>
      <w:sz w:val="16"/>
      <w:szCs w:val="16"/>
    </w:rPr>
  </w:style>
  <w:style w:type="paragraph" w:styleId="745">
    <w:name w:val="Основной текст с отступом"/>
    <w:basedOn w:val="668"/>
    <w:next w:val="745"/>
    <w:link w:val="668"/>
    <w:pPr>
      <w:ind w:left="0" w:right="0" w:firstLine="709"/>
      <w:jc w:val="both"/>
      <w:spacing w:line="360" w:lineRule="auto"/>
    </w:pPr>
    <w:rPr>
      <w:sz w:val="28"/>
    </w:rPr>
  </w:style>
  <w:style w:type="paragraph" w:styleId="746">
    <w:name w:val="Содержимое таблицы"/>
    <w:basedOn w:val="668"/>
    <w:next w:val="746"/>
    <w:link w:val="668"/>
    <w:pPr>
      <w:suppressLineNumbers/>
    </w:pPr>
  </w:style>
  <w:style w:type="paragraph" w:styleId="747">
    <w:name w:val="Заголовок таблицы"/>
    <w:basedOn w:val="746"/>
    <w:next w:val="747"/>
    <w:link w:val="668"/>
    <w:pPr>
      <w:jc w:val="center"/>
      <w:suppressLineNumbers/>
    </w:pPr>
    <w:rPr>
      <w:b/>
      <w:bCs/>
    </w:rPr>
  </w:style>
  <w:style w:type="paragraph" w:styleId="748">
    <w:name w:val="Основной текст с отступом 31"/>
    <w:basedOn w:val="668"/>
    <w:next w:val="748"/>
    <w:link w:val="668"/>
    <w:pPr>
      <w:ind w:left="283" w:right="0" w:firstLine="0"/>
      <w:spacing w:before="0" w:after="120"/>
    </w:pPr>
    <w:rPr>
      <w:sz w:val="16"/>
      <w:szCs w:val="16"/>
    </w:rPr>
  </w:style>
  <w:style w:type="paragraph" w:styleId="749">
    <w:name w:val="Основной текст с отступом 21"/>
    <w:basedOn w:val="668"/>
    <w:next w:val="749"/>
    <w:link w:val="668"/>
    <w:pPr>
      <w:ind w:left="671" w:right="0" w:firstLine="0"/>
      <w:jc w:val="center"/>
    </w:pPr>
    <w:rPr>
      <w:sz w:val="28"/>
      <w:szCs w:val="28"/>
    </w:rPr>
  </w:style>
  <w:style w:type="paragraph" w:styleId="750">
    <w:name w:val="tekstob"/>
    <w:basedOn w:val="668"/>
    <w:next w:val="750"/>
    <w:link w:val="668"/>
    <w:pPr>
      <w:spacing w:before="280" w:after="280"/>
    </w:pPr>
  </w:style>
  <w:style w:type="paragraph" w:styleId="751">
    <w:name w:val="ConsPlusNormal"/>
    <w:next w:val="751"/>
    <w:link w:val="668"/>
    <w:rPr>
      <w:rFonts w:ascii="Arial" w:hAnsi="Arial" w:eastAsia="Calibri" w:cs="Arial"/>
      <w:lang w:val="ru-RU" w:eastAsia="ar-SA" w:bidi="ar-SA"/>
    </w:rPr>
  </w:style>
  <w:style w:type="paragraph" w:styleId="752">
    <w:name w:val="Верхний колонтитул"/>
    <w:basedOn w:val="668"/>
    <w:next w:val="752"/>
    <w:link w:val="668"/>
    <w:pPr>
      <w:tabs>
        <w:tab w:val="center" w:pos="4677" w:leader="none"/>
        <w:tab w:val="right" w:pos="9355" w:leader="none"/>
      </w:tabs>
    </w:pPr>
  </w:style>
  <w:style w:type="paragraph" w:styleId="753">
    <w:name w:val="Нижний колонтитул"/>
    <w:basedOn w:val="668"/>
    <w:next w:val="753"/>
    <w:link w:val="668"/>
    <w:pPr>
      <w:tabs>
        <w:tab w:val="center" w:pos="4677" w:leader="none"/>
        <w:tab w:val="right" w:pos="9355" w:leader="none"/>
      </w:tabs>
    </w:pPr>
  </w:style>
  <w:style w:type="paragraph" w:styleId="754">
    <w:name w:val="ConsPlusNonformat"/>
    <w:next w:val="754"/>
    <w:link w:val="668"/>
    <w:pPr>
      <w:widowControl w:val="off"/>
    </w:pPr>
    <w:rPr>
      <w:rFonts w:ascii="Courier New" w:hAnsi="Courier New" w:eastAsia="Arial" w:cs="Courier New"/>
      <w:lang w:val="ru-RU" w:eastAsia="ar-SA" w:bidi="ar-SA"/>
    </w:rPr>
  </w:style>
  <w:style w:type="paragraph" w:styleId="755">
    <w:name w:val="ConsPlusTitle"/>
    <w:next w:val="755"/>
    <w:link w:val="668"/>
    <w:pPr>
      <w:widowControl w:val="off"/>
    </w:pPr>
    <w:rPr>
      <w:rFonts w:ascii="Arial" w:hAnsi="Arial" w:eastAsia="Arial" w:cs="Arial"/>
      <w:b/>
      <w:bCs/>
      <w:lang w:val="ru-RU" w:eastAsia="ar-SA" w:bidi="ar-SA"/>
    </w:rPr>
  </w:style>
  <w:style w:type="paragraph" w:styleId="756">
    <w:name w:val="ConsPlusCell"/>
    <w:next w:val="756"/>
    <w:link w:val="668"/>
    <w:pPr>
      <w:widowControl w:val="off"/>
    </w:pPr>
    <w:rPr>
      <w:rFonts w:ascii="Arial" w:hAnsi="Arial" w:eastAsia="Arial" w:cs="Arial"/>
      <w:lang w:val="ru-RU" w:eastAsia="ar-SA" w:bidi="ar-SA"/>
    </w:rPr>
  </w:style>
  <w:style w:type="paragraph" w:styleId="757">
    <w:name w:val="Текст сноски"/>
    <w:basedOn w:val="668"/>
    <w:next w:val="757"/>
    <w:link w:val="668"/>
    <w:rPr>
      <w:rFonts w:eastAsia="Times New Roman"/>
      <w:sz w:val="20"/>
      <w:szCs w:val="20"/>
    </w:rPr>
  </w:style>
  <w:style w:type="paragraph" w:styleId="758">
    <w:name w:val="Обычный1"/>
    <w:next w:val="758"/>
    <w:link w:val="668"/>
    <w:pPr>
      <w:spacing w:line="100" w:lineRule="atLeast"/>
      <w:widowControl w:val="off"/>
    </w:pPr>
    <w:rPr>
      <w:rFonts w:eastAsia="Arial"/>
      <w:lang w:val="ru-RU" w:eastAsia="ar-SA" w:bidi="ar-SA"/>
    </w:rPr>
  </w:style>
  <w:style w:type="paragraph" w:styleId="759">
    <w:name w:val="Содержимое врезки"/>
    <w:basedOn w:val="728"/>
    <w:next w:val="759"/>
    <w:link w:val="668"/>
  </w:style>
  <w:style w:type="paragraph" w:styleId="760">
    <w:name w:val="Красная строка1"/>
    <w:basedOn w:val="728"/>
    <w:next w:val="760"/>
    <w:link w:val="668"/>
    <w:pPr>
      <w:ind w:left="0" w:right="0" w:firstLine="210"/>
      <w:jc w:val="center"/>
    </w:pPr>
    <w:rPr>
      <w:rFonts w:ascii="Arial" w:hAnsi="Arial" w:cs="Arial"/>
      <w:sz w:val="20"/>
      <w:szCs w:val="20"/>
      <w:lang w:val="ru-RU"/>
    </w:rPr>
  </w:style>
  <w:style w:type="paragraph" w:styleId="761">
    <w:name w:val="Основной текст 31"/>
    <w:basedOn w:val="668"/>
    <w:next w:val="761"/>
    <w:link w:val="668"/>
    <w:pPr>
      <w:jc w:val="both"/>
    </w:pPr>
    <w:rPr>
      <w:sz w:val="28"/>
      <w:szCs w:val="20"/>
    </w:rPr>
  </w:style>
  <w:style w:type="paragraph" w:styleId="762">
    <w:name w:val="Standard"/>
    <w:next w:val="762"/>
    <w:link w:val="668"/>
    <w:pPr>
      <w:jc w:val="both"/>
      <w:widowControl w:val="off"/>
    </w:pPr>
    <w:rPr>
      <w:rFonts w:ascii="Calibri" w:hAnsi="Calibri" w:eastAsia="Lucida Sans Unicode" w:cs="Tahoma"/>
      <w:color w:val="000000"/>
      <w:sz w:val="24"/>
      <w:szCs w:val="24"/>
      <w:lang w:val="en-US" w:eastAsia="en-US" w:bidi="en-US"/>
    </w:rPr>
  </w:style>
  <w:style w:type="character" w:styleId="1048" w:default="1">
    <w:name w:val="Default Paragraph Font"/>
    <w:uiPriority w:val="1"/>
    <w:semiHidden/>
    <w:unhideWhenUsed/>
  </w:style>
  <w:style w:type="numbering" w:styleId="1049" w:default="1">
    <w:name w:val="No List"/>
    <w:uiPriority w:val="99"/>
    <w:semiHidden/>
    <w:unhideWhenUsed/>
  </w:style>
  <w:style w:type="table" w:styleId="105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Маш.бюро - Мурашова</dc:creator>
  <cp:lastModifiedBy>User</cp:lastModifiedBy>
  <cp:revision>6</cp:revision>
  <dcterms:created xsi:type="dcterms:W3CDTF">2024-02-27T12:53:00Z</dcterms:created>
  <dcterms:modified xsi:type="dcterms:W3CDTF">2026-07-22T11:07:54Z</dcterms:modified>
  <cp:version>786432</cp:version>
</cp:coreProperties>
</file>